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39B" w:rsidRDefault="0053339B" w:rsidP="0053339B">
      <w:pPr>
        <w:jc w:val="center"/>
        <w:rPr>
          <w:rFonts w:ascii="Book Antiqua" w:hAnsi="Book Antiqua"/>
          <w:sz w:val="24"/>
          <w:szCs w:val="24"/>
        </w:rPr>
      </w:pPr>
      <w:r>
        <w:rPr>
          <w:rFonts w:ascii="Book Antiqua" w:hAnsi="Book Antiqua"/>
          <w:sz w:val="24"/>
          <w:szCs w:val="24"/>
        </w:rPr>
        <w:t>Cottonwood, Inc.</w:t>
      </w:r>
    </w:p>
    <w:p w:rsidR="009E07B1" w:rsidRDefault="0053339B" w:rsidP="0053339B">
      <w:pPr>
        <w:jc w:val="center"/>
        <w:rPr>
          <w:rFonts w:ascii="Book Antiqua" w:hAnsi="Book Antiqua"/>
          <w:sz w:val="24"/>
          <w:szCs w:val="24"/>
        </w:rPr>
      </w:pPr>
      <w:r w:rsidRPr="0053339B">
        <w:rPr>
          <w:rFonts w:ascii="Book Antiqua" w:hAnsi="Book Antiqua"/>
          <w:sz w:val="24"/>
          <w:szCs w:val="24"/>
        </w:rPr>
        <w:t>Annual Competency Based Worksheet</w:t>
      </w:r>
    </w:p>
    <w:p w:rsidR="0053339B" w:rsidRDefault="0053339B" w:rsidP="0053339B">
      <w:pPr>
        <w:jc w:val="center"/>
        <w:rPr>
          <w:rFonts w:ascii="Book Antiqua" w:hAnsi="Book Antiqua"/>
          <w:sz w:val="24"/>
          <w:szCs w:val="24"/>
        </w:rPr>
      </w:pPr>
      <w:r>
        <w:rPr>
          <w:rFonts w:ascii="Book Antiqua" w:hAnsi="Book Antiqua"/>
          <w:sz w:val="24"/>
          <w:szCs w:val="24"/>
        </w:rPr>
        <w:t>Coversheet</w:t>
      </w:r>
    </w:p>
    <w:p w:rsidR="0053339B" w:rsidRDefault="0053339B" w:rsidP="0053339B">
      <w:pPr>
        <w:jc w:val="center"/>
        <w:rPr>
          <w:rFonts w:ascii="Book Antiqua" w:hAnsi="Book Antiqua"/>
          <w:sz w:val="24"/>
          <w:szCs w:val="24"/>
        </w:rPr>
      </w:pPr>
    </w:p>
    <w:p w:rsidR="0053339B" w:rsidRDefault="0053339B" w:rsidP="0053339B">
      <w:pPr>
        <w:jc w:val="center"/>
        <w:rPr>
          <w:rFonts w:ascii="Book Antiqua" w:hAnsi="Book Antiqua"/>
          <w:sz w:val="24"/>
          <w:szCs w:val="24"/>
        </w:rPr>
      </w:pPr>
    </w:p>
    <w:p w:rsidR="0053339B" w:rsidRDefault="0053339B" w:rsidP="0053339B">
      <w:pPr>
        <w:ind w:left="360" w:firstLine="0"/>
        <w:rPr>
          <w:rFonts w:ascii="Book Antiqua" w:hAnsi="Book Antiqua"/>
          <w:sz w:val="18"/>
          <w:szCs w:val="18"/>
        </w:rPr>
      </w:pPr>
      <w:r>
        <w:rPr>
          <w:rFonts w:ascii="Book Antiqua" w:hAnsi="Book Antiqua"/>
          <w:sz w:val="18"/>
          <w:szCs w:val="18"/>
        </w:rPr>
        <w:t xml:space="preserve">This form is to be </w:t>
      </w:r>
      <w:r w:rsidR="00CB29AE">
        <w:rPr>
          <w:rFonts w:ascii="Book Antiqua" w:hAnsi="Book Antiqua"/>
          <w:sz w:val="18"/>
          <w:szCs w:val="18"/>
        </w:rPr>
        <w:t>used to document that staff has</w:t>
      </w:r>
      <w:r>
        <w:rPr>
          <w:rFonts w:ascii="Book Antiqua" w:hAnsi="Book Antiqua"/>
          <w:sz w:val="18"/>
          <w:szCs w:val="18"/>
        </w:rPr>
        <w:t xml:space="preserve"> successfully completed the required training topics and has </w:t>
      </w:r>
      <w:r w:rsidR="006F3E07">
        <w:rPr>
          <w:rFonts w:ascii="Book Antiqua" w:hAnsi="Book Antiqua"/>
          <w:sz w:val="18"/>
          <w:szCs w:val="18"/>
        </w:rPr>
        <w:t>demonstrated</w:t>
      </w:r>
      <w:r w:rsidR="00E95BF9">
        <w:rPr>
          <w:rFonts w:ascii="Book Antiqua" w:hAnsi="Book Antiqua"/>
          <w:sz w:val="18"/>
          <w:szCs w:val="18"/>
        </w:rPr>
        <w:t>,</w:t>
      </w:r>
      <w:r w:rsidR="006F3E07">
        <w:rPr>
          <w:rFonts w:ascii="Book Antiqua" w:hAnsi="Book Antiqua"/>
          <w:sz w:val="18"/>
          <w:szCs w:val="18"/>
        </w:rPr>
        <w:t xml:space="preserve"> by their</w:t>
      </w:r>
      <w:r w:rsidR="00E95BF9">
        <w:rPr>
          <w:rFonts w:ascii="Book Antiqua" w:hAnsi="Book Antiqua"/>
          <w:sz w:val="18"/>
          <w:szCs w:val="18"/>
        </w:rPr>
        <w:t xml:space="preserve"> written and verbal </w:t>
      </w:r>
      <w:r>
        <w:rPr>
          <w:rFonts w:ascii="Book Antiqua" w:hAnsi="Book Antiqua"/>
          <w:sz w:val="18"/>
          <w:szCs w:val="18"/>
        </w:rPr>
        <w:t>responses</w:t>
      </w:r>
      <w:r w:rsidR="00E95BF9">
        <w:rPr>
          <w:rFonts w:ascii="Book Antiqua" w:hAnsi="Book Antiqua"/>
          <w:sz w:val="18"/>
          <w:szCs w:val="18"/>
        </w:rPr>
        <w:t>,</w:t>
      </w:r>
      <w:r>
        <w:rPr>
          <w:rFonts w:ascii="Book Antiqua" w:hAnsi="Book Antiqua"/>
          <w:sz w:val="18"/>
          <w:szCs w:val="18"/>
        </w:rPr>
        <w:t xml:space="preserve"> that they have a</w:t>
      </w:r>
      <w:r w:rsidR="009D0368">
        <w:rPr>
          <w:rFonts w:ascii="Book Antiqua" w:hAnsi="Book Antiqua"/>
          <w:sz w:val="18"/>
          <w:szCs w:val="18"/>
        </w:rPr>
        <w:t xml:space="preserve"> competent</w:t>
      </w:r>
      <w:r>
        <w:rPr>
          <w:rFonts w:ascii="Book Antiqua" w:hAnsi="Book Antiqua"/>
          <w:sz w:val="18"/>
          <w:szCs w:val="18"/>
        </w:rPr>
        <w:t xml:space="preserve"> working knowledge of the concepts and procedures.</w:t>
      </w:r>
    </w:p>
    <w:p w:rsidR="0053339B" w:rsidRDefault="0053339B" w:rsidP="0053339B">
      <w:pPr>
        <w:rPr>
          <w:rFonts w:ascii="Book Antiqua" w:hAnsi="Book Antiqua"/>
          <w:sz w:val="18"/>
          <w:szCs w:val="18"/>
        </w:rPr>
      </w:pPr>
    </w:p>
    <w:p w:rsidR="0053339B" w:rsidRDefault="0053339B" w:rsidP="0053339B">
      <w:pPr>
        <w:rPr>
          <w:rFonts w:ascii="Book Antiqua" w:hAnsi="Book Antiqua"/>
          <w:sz w:val="18"/>
          <w:szCs w:val="18"/>
        </w:rPr>
      </w:pPr>
    </w:p>
    <w:p w:rsidR="0053339B" w:rsidRDefault="0053339B" w:rsidP="0053339B">
      <w:pPr>
        <w:rPr>
          <w:rFonts w:ascii="Book Antiqua" w:hAnsi="Book Antiqua"/>
          <w:sz w:val="18"/>
          <w:szCs w:val="18"/>
        </w:rPr>
      </w:pPr>
    </w:p>
    <w:p w:rsidR="006F3E07" w:rsidRDefault="0053339B" w:rsidP="0053339B">
      <w:pPr>
        <w:rPr>
          <w:rFonts w:ascii="Book Antiqua" w:hAnsi="Book Antiqua"/>
          <w:sz w:val="24"/>
          <w:szCs w:val="24"/>
        </w:rPr>
      </w:pPr>
      <w:r w:rsidRPr="006F3E07">
        <w:rPr>
          <w:rFonts w:ascii="Book Antiqua" w:hAnsi="Book Antiqua"/>
          <w:sz w:val="24"/>
          <w:szCs w:val="24"/>
        </w:rPr>
        <w:t>____________________________ has completed</w:t>
      </w:r>
      <w:r w:rsidR="00100E2B">
        <w:rPr>
          <w:rFonts w:ascii="Book Antiqua" w:hAnsi="Book Antiqua"/>
          <w:sz w:val="24"/>
          <w:szCs w:val="24"/>
        </w:rPr>
        <w:t xml:space="preserve"> annual</w:t>
      </w:r>
      <w:r w:rsidRPr="006F3E07">
        <w:rPr>
          <w:rFonts w:ascii="Book Antiqua" w:hAnsi="Book Antiqua"/>
          <w:sz w:val="24"/>
          <w:szCs w:val="24"/>
        </w:rPr>
        <w:t xml:space="preserve"> training/instruction</w:t>
      </w:r>
      <w:r w:rsidR="00100E2B">
        <w:rPr>
          <w:rFonts w:ascii="Book Antiqua" w:hAnsi="Book Antiqua"/>
          <w:sz w:val="24"/>
          <w:szCs w:val="24"/>
        </w:rPr>
        <w:t xml:space="preserve">/testing </w:t>
      </w:r>
      <w:r w:rsidRPr="006F3E07">
        <w:rPr>
          <w:rFonts w:ascii="Book Antiqua" w:hAnsi="Book Antiqua"/>
          <w:sz w:val="24"/>
          <w:szCs w:val="24"/>
        </w:rPr>
        <w:t xml:space="preserve"> </w:t>
      </w:r>
    </w:p>
    <w:p w:rsidR="006F3E07" w:rsidRDefault="006F3E07" w:rsidP="0053339B">
      <w:pPr>
        <w:rPr>
          <w:rFonts w:ascii="Book Antiqua" w:hAnsi="Book Antiqua"/>
          <w:sz w:val="16"/>
          <w:szCs w:val="16"/>
        </w:rPr>
      </w:pPr>
      <w:r>
        <w:rPr>
          <w:rFonts w:ascii="Book Antiqua" w:hAnsi="Book Antiqua"/>
          <w:sz w:val="16"/>
          <w:szCs w:val="16"/>
        </w:rPr>
        <w:t>Direct Support Staff Name</w:t>
      </w:r>
      <w:r w:rsidR="00E95BF9">
        <w:rPr>
          <w:rFonts w:ascii="Book Antiqua" w:hAnsi="Book Antiqua"/>
          <w:sz w:val="16"/>
          <w:szCs w:val="16"/>
        </w:rPr>
        <w:t xml:space="preserve"> (please print)</w:t>
      </w:r>
    </w:p>
    <w:p w:rsidR="006F3E07" w:rsidRPr="006F3E07" w:rsidRDefault="006F3E07" w:rsidP="0053339B">
      <w:pPr>
        <w:rPr>
          <w:rFonts w:ascii="Book Antiqua" w:hAnsi="Book Antiqua"/>
          <w:sz w:val="16"/>
          <w:szCs w:val="16"/>
        </w:rPr>
      </w:pPr>
    </w:p>
    <w:p w:rsidR="006F3E07" w:rsidRDefault="0053339B" w:rsidP="00E95BF9">
      <w:pPr>
        <w:ind w:left="360" w:firstLine="0"/>
        <w:rPr>
          <w:rFonts w:ascii="Book Antiqua" w:hAnsi="Book Antiqua"/>
          <w:sz w:val="24"/>
          <w:szCs w:val="24"/>
        </w:rPr>
      </w:pPr>
      <w:proofErr w:type="gramStart"/>
      <w:r w:rsidRPr="006F3E07">
        <w:rPr>
          <w:rFonts w:ascii="Book Antiqua" w:hAnsi="Book Antiqua"/>
          <w:sz w:val="24"/>
          <w:szCs w:val="24"/>
        </w:rPr>
        <w:t>and</w:t>
      </w:r>
      <w:proofErr w:type="gramEnd"/>
      <w:r w:rsidR="006F3E07">
        <w:rPr>
          <w:rFonts w:ascii="Book Antiqua" w:hAnsi="Book Antiqua"/>
          <w:sz w:val="24"/>
          <w:szCs w:val="24"/>
        </w:rPr>
        <w:t xml:space="preserve"> has demonstrated competence</w:t>
      </w:r>
      <w:r w:rsidR="00E95BF9">
        <w:rPr>
          <w:rFonts w:ascii="Book Antiqua" w:hAnsi="Book Antiqua"/>
          <w:sz w:val="24"/>
          <w:szCs w:val="24"/>
        </w:rPr>
        <w:t xml:space="preserve"> sufficient to perform their work responsibilities</w:t>
      </w:r>
      <w:r w:rsidR="006F3E07">
        <w:rPr>
          <w:rFonts w:ascii="Book Antiqua" w:hAnsi="Book Antiqua"/>
          <w:sz w:val="24"/>
          <w:szCs w:val="24"/>
        </w:rPr>
        <w:t xml:space="preserve"> </w:t>
      </w:r>
      <w:r w:rsidR="00E95BF9">
        <w:rPr>
          <w:rFonts w:ascii="Book Antiqua" w:hAnsi="Book Antiqua"/>
          <w:sz w:val="24"/>
          <w:szCs w:val="24"/>
        </w:rPr>
        <w:t>in the following areas</w:t>
      </w:r>
      <w:r w:rsidR="006F3E07">
        <w:rPr>
          <w:rFonts w:ascii="Book Antiqua" w:hAnsi="Book Antiqua"/>
          <w:sz w:val="24"/>
          <w:szCs w:val="24"/>
        </w:rPr>
        <w:t>:</w:t>
      </w:r>
    </w:p>
    <w:p w:rsidR="001956EA" w:rsidRDefault="001956EA" w:rsidP="00E95BF9">
      <w:pPr>
        <w:ind w:left="360" w:firstLine="0"/>
        <w:rPr>
          <w:rFonts w:ascii="Book Antiqua" w:hAnsi="Book Antiqua"/>
          <w:sz w:val="24"/>
          <w:szCs w:val="24"/>
        </w:rPr>
      </w:pPr>
    </w:p>
    <w:p w:rsidR="006F3E07" w:rsidRDefault="001956EA" w:rsidP="006F3E07">
      <w:pPr>
        <w:rPr>
          <w:rFonts w:ascii="Book Antiqua" w:hAnsi="Book Antiqua"/>
          <w:sz w:val="24"/>
          <w:szCs w:val="24"/>
        </w:rPr>
      </w:pPr>
      <w:r>
        <w:rPr>
          <w:rFonts w:ascii="Book Antiqua" w:hAnsi="Book Antiqua"/>
          <w:sz w:val="24"/>
          <w:szCs w:val="24"/>
        </w:rPr>
        <w:t>Rights of Persons Served</w:t>
      </w:r>
    </w:p>
    <w:p w:rsidR="006F3E07" w:rsidRDefault="00100E2B" w:rsidP="006F3E07">
      <w:pPr>
        <w:rPr>
          <w:rFonts w:ascii="Book Antiqua" w:hAnsi="Book Antiqua"/>
          <w:sz w:val="24"/>
          <w:szCs w:val="24"/>
        </w:rPr>
      </w:pPr>
      <w:r>
        <w:rPr>
          <w:rFonts w:ascii="Book Antiqua" w:hAnsi="Book Antiqua"/>
          <w:sz w:val="24"/>
          <w:szCs w:val="24"/>
        </w:rPr>
        <w:t>Abuse/Neglect/Exploitation</w:t>
      </w:r>
    </w:p>
    <w:p w:rsidR="00100E2B" w:rsidRDefault="00100E2B" w:rsidP="006F3E07">
      <w:pPr>
        <w:rPr>
          <w:rFonts w:ascii="Book Antiqua" w:hAnsi="Book Antiqua"/>
          <w:sz w:val="24"/>
          <w:szCs w:val="24"/>
        </w:rPr>
      </w:pPr>
      <w:r>
        <w:rPr>
          <w:rFonts w:ascii="Book Antiqua" w:hAnsi="Book Antiqua"/>
          <w:sz w:val="24"/>
          <w:szCs w:val="24"/>
        </w:rPr>
        <w:t>Health and Safety Practices</w:t>
      </w:r>
    </w:p>
    <w:p w:rsidR="00100E2B" w:rsidRDefault="00100E2B" w:rsidP="006F3E07">
      <w:pPr>
        <w:rPr>
          <w:rFonts w:ascii="Book Antiqua" w:hAnsi="Book Antiqua"/>
          <w:sz w:val="24"/>
          <w:szCs w:val="24"/>
        </w:rPr>
      </w:pPr>
      <w:r>
        <w:rPr>
          <w:rFonts w:ascii="Book Antiqua" w:hAnsi="Book Antiqua"/>
          <w:sz w:val="24"/>
          <w:szCs w:val="24"/>
        </w:rPr>
        <w:t>Identification of Unsafe Environments and Reducing Physical Risks</w:t>
      </w:r>
    </w:p>
    <w:p w:rsidR="00100E2B" w:rsidRDefault="00100E2B" w:rsidP="006F3E07">
      <w:pPr>
        <w:rPr>
          <w:rFonts w:ascii="Book Antiqua" w:hAnsi="Book Antiqua"/>
          <w:sz w:val="24"/>
          <w:szCs w:val="24"/>
        </w:rPr>
      </w:pPr>
      <w:r>
        <w:rPr>
          <w:rFonts w:ascii="Book Antiqua" w:hAnsi="Book Antiqua"/>
          <w:sz w:val="24"/>
          <w:szCs w:val="24"/>
        </w:rPr>
        <w:t>Emergency Procedures and Evacuation Procedures</w:t>
      </w:r>
    </w:p>
    <w:p w:rsidR="00100E2B" w:rsidRDefault="00100E2B" w:rsidP="006F3E07">
      <w:pPr>
        <w:rPr>
          <w:rFonts w:ascii="Book Antiqua" w:hAnsi="Book Antiqua"/>
          <w:sz w:val="24"/>
          <w:szCs w:val="24"/>
        </w:rPr>
      </w:pPr>
      <w:r>
        <w:rPr>
          <w:rFonts w:ascii="Book Antiqua" w:hAnsi="Book Antiqua"/>
          <w:sz w:val="24"/>
          <w:szCs w:val="24"/>
        </w:rPr>
        <w:t>Identifying and Reporting of Critical Incidents</w:t>
      </w:r>
    </w:p>
    <w:p w:rsidR="00100E2B" w:rsidRDefault="00100E2B" w:rsidP="006F3E07">
      <w:pPr>
        <w:rPr>
          <w:rFonts w:ascii="Book Antiqua" w:hAnsi="Book Antiqua"/>
          <w:sz w:val="24"/>
          <w:szCs w:val="24"/>
        </w:rPr>
      </w:pPr>
      <w:r>
        <w:rPr>
          <w:rFonts w:ascii="Book Antiqua" w:hAnsi="Book Antiqua"/>
          <w:sz w:val="24"/>
          <w:szCs w:val="24"/>
        </w:rPr>
        <w:t>Customer Service</w:t>
      </w:r>
    </w:p>
    <w:p w:rsidR="00100E2B" w:rsidRDefault="00100E2B" w:rsidP="006F3E07">
      <w:pPr>
        <w:rPr>
          <w:rFonts w:ascii="Book Antiqua" w:hAnsi="Book Antiqua"/>
          <w:sz w:val="24"/>
          <w:szCs w:val="24"/>
        </w:rPr>
      </w:pPr>
      <w:r>
        <w:rPr>
          <w:rFonts w:ascii="Book Antiqua" w:hAnsi="Book Antiqua"/>
          <w:sz w:val="24"/>
          <w:szCs w:val="24"/>
        </w:rPr>
        <w:t>Diversity</w:t>
      </w:r>
    </w:p>
    <w:p w:rsidR="00100E2B" w:rsidRDefault="00100E2B" w:rsidP="006F3E07">
      <w:pPr>
        <w:rPr>
          <w:rFonts w:ascii="Book Antiqua" w:hAnsi="Book Antiqua"/>
          <w:sz w:val="24"/>
          <w:szCs w:val="24"/>
        </w:rPr>
      </w:pPr>
      <w:r>
        <w:rPr>
          <w:rFonts w:ascii="Book Antiqua" w:hAnsi="Book Antiqua"/>
          <w:sz w:val="24"/>
          <w:szCs w:val="24"/>
        </w:rPr>
        <w:t>Promoting Wellness</w:t>
      </w:r>
    </w:p>
    <w:p w:rsidR="00100E2B" w:rsidRDefault="00100E2B" w:rsidP="006F3E07">
      <w:pPr>
        <w:rPr>
          <w:rFonts w:ascii="Book Antiqua" w:hAnsi="Book Antiqua"/>
          <w:sz w:val="24"/>
          <w:szCs w:val="24"/>
        </w:rPr>
      </w:pPr>
      <w:r>
        <w:rPr>
          <w:rFonts w:ascii="Book Antiqua" w:hAnsi="Book Antiqua"/>
          <w:sz w:val="24"/>
          <w:szCs w:val="24"/>
        </w:rPr>
        <w:t>Person Centered Practices</w:t>
      </w:r>
    </w:p>
    <w:p w:rsidR="00100E2B" w:rsidRDefault="00100E2B" w:rsidP="006F3E07">
      <w:pPr>
        <w:rPr>
          <w:rFonts w:ascii="Book Antiqua" w:hAnsi="Book Antiqua"/>
          <w:sz w:val="24"/>
          <w:szCs w:val="24"/>
        </w:rPr>
      </w:pPr>
      <w:r>
        <w:rPr>
          <w:rFonts w:ascii="Book Antiqua" w:hAnsi="Book Antiqua"/>
          <w:sz w:val="24"/>
          <w:szCs w:val="24"/>
        </w:rPr>
        <w:t>Use of Positive Interventions and Restrictive Procedures</w:t>
      </w:r>
    </w:p>
    <w:p w:rsidR="00E95BF9" w:rsidRDefault="00E95BF9" w:rsidP="006F3E07">
      <w:pPr>
        <w:rPr>
          <w:rFonts w:ascii="Book Antiqua" w:hAnsi="Book Antiqua"/>
          <w:sz w:val="24"/>
          <w:szCs w:val="24"/>
        </w:rPr>
      </w:pPr>
    </w:p>
    <w:p w:rsidR="00E95BF9" w:rsidRDefault="00E95BF9" w:rsidP="006F3E07">
      <w:pPr>
        <w:rPr>
          <w:rFonts w:ascii="Book Antiqua" w:hAnsi="Book Antiqua"/>
          <w:sz w:val="24"/>
          <w:szCs w:val="24"/>
        </w:rPr>
      </w:pPr>
    </w:p>
    <w:p w:rsidR="00E95BF9" w:rsidRPr="00E95BF9" w:rsidRDefault="00E95BF9" w:rsidP="001956EA">
      <w:pPr>
        <w:ind w:left="360" w:firstLine="0"/>
        <w:rPr>
          <w:rFonts w:ascii="Book Antiqua" w:hAnsi="Book Antiqua"/>
          <w:sz w:val="20"/>
          <w:szCs w:val="20"/>
        </w:rPr>
      </w:pPr>
      <w:r>
        <w:rPr>
          <w:rFonts w:ascii="Book Antiqua" w:hAnsi="Book Antiqua"/>
          <w:sz w:val="20"/>
          <w:szCs w:val="20"/>
        </w:rPr>
        <w:t>By signing below the Supervisor/Coordinator and the above named Direct Support Staff attest that all topics were covered.  The Direct Support Staff agrees to be held responsible for carrying out the concepts, policies, procedures, and rules as they are amended and communicated from time to time.</w:t>
      </w:r>
    </w:p>
    <w:p w:rsidR="00E95BF9" w:rsidRDefault="00E95BF9" w:rsidP="006F3E07">
      <w:pPr>
        <w:rPr>
          <w:rFonts w:ascii="Book Antiqua" w:hAnsi="Book Antiqua"/>
          <w:sz w:val="24"/>
          <w:szCs w:val="24"/>
        </w:rPr>
      </w:pPr>
    </w:p>
    <w:p w:rsidR="00E95BF9" w:rsidRDefault="00E95BF9" w:rsidP="00095320">
      <w:pPr>
        <w:ind w:firstLine="0"/>
        <w:rPr>
          <w:rFonts w:ascii="Book Antiqua" w:hAnsi="Book Antiqua"/>
          <w:sz w:val="24"/>
          <w:szCs w:val="24"/>
        </w:rPr>
      </w:pPr>
    </w:p>
    <w:p w:rsidR="00E95BF9" w:rsidRDefault="00E95BF9" w:rsidP="006F3E07">
      <w:pPr>
        <w:rPr>
          <w:rFonts w:ascii="Book Antiqua" w:hAnsi="Book Antiqua"/>
          <w:sz w:val="24"/>
          <w:szCs w:val="24"/>
        </w:rPr>
      </w:pPr>
      <w:r>
        <w:rPr>
          <w:rFonts w:ascii="Book Antiqua" w:hAnsi="Book Antiqua"/>
          <w:sz w:val="24"/>
          <w:szCs w:val="24"/>
        </w:rPr>
        <w:t>Signature of Direct Support Staff_____________________</w:t>
      </w:r>
      <w:r w:rsidR="009D0368">
        <w:rPr>
          <w:rFonts w:ascii="Book Antiqua" w:hAnsi="Book Antiqua"/>
          <w:sz w:val="24"/>
          <w:szCs w:val="24"/>
        </w:rPr>
        <w:t>___</w:t>
      </w:r>
    </w:p>
    <w:p w:rsidR="00E95BF9" w:rsidRDefault="00E95BF9" w:rsidP="006F3E07">
      <w:pPr>
        <w:rPr>
          <w:rFonts w:ascii="Book Antiqua" w:hAnsi="Book Antiqua"/>
          <w:sz w:val="24"/>
          <w:szCs w:val="24"/>
        </w:rPr>
      </w:pPr>
    </w:p>
    <w:p w:rsidR="00E95BF9" w:rsidRDefault="00E95BF9" w:rsidP="006F3E07">
      <w:pPr>
        <w:rPr>
          <w:rFonts w:ascii="Book Antiqua" w:hAnsi="Book Antiqua"/>
          <w:sz w:val="24"/>
          <w:szCs w:val="24"/>
        </w:rPr>
      </w:pPr>
      <w:r>
        <w:rPr>
          <w:rFonts w:ascii="Book Antiqua" w:hAnsi="Book Antiqua"/>
          <w:sz w:val="24"/>
          <w:szCs w:val="24"/>
        </w:rPr>
        <w:t>Signature of Supervisor/Coordinator__________________</w:t>
      </w:r>
      <w:r w:rsidR="009D0368">
        <w:rPr>
          <w:rFonts w:ascii="Book Antiqua" w:hAnsi="Book Antiqua"/>
          <w:sz w:val="24"/>
          <w:szCs w:val="24"/>
        </w:rPr>
        <w:t>___</w:t>
      </w:r>
    </w:p>
    <w:p w:rsidR="00E95BF9" w:rsidRDefault="00E95BF9" w:rsidP="006F3E07">
      <w:pPr>
        <w:rPr>
          <w:rFonts w:ascii="Book Antiqua" w:hAnsi="Book Antiqua"/>
          <w:sz w:val="24"/>
          <w:szCs w:val="24"/>
        </w:rPr>
      </w:pPr>
    </w:p>
    <w:p w:rsidR="00E95BF9" w:rsidRDefault="00E95BF9" w:rsidP="006F3E07">
      <w:pPr>
        <w:rPr>
          <w:rFonts w:ascii="Book Antiqua" w:hAnsi="Book Antiqua"/>
          <w:sz w:val="24"/>
          <w:szCs w:val="24"/>
        </w:rPr>
      </w:pPr>
      <w:r>
        <w:rPr>
          <w:rFonts w:ascii="Book Antiqua" w:hAnsi="Book Antiqua"/>
          <w:sz w:val="24"/>
          <w:szCs w:val="24"/>
        </w:rPr>
        <w:t>Date Instruction/Testing was completed___________________</w:t>
      </w:r>
    </w:p>
    <w:p w:rsidR="00E95BF9" w:rsidRPr="00357BD6" w:rsidRDefault="00E95BF9" w:rsidP="00E95BF9">
      <w:pPr>
        <w:ind w:firstLine="0"/>
        <w:rPr>
          <w:rFonts w:ascii="Book Antiqua" w:hAnsi="Book Antiqua"/>
          <w:sz w:val="16"/>
          <w:szCs w:val="16"/>
        </w:rPr>
      </w:pPr>
      <w:r>
        <w:rPr>
          <w:rFonts w:ascii="Book Antiqua" w:hAnsi="Book Antiqua"/>
          <w:sz w:val="24"/>
          <w:szCs w:val="24"/>
        </w:rPr>
        <w:tab/>
      </w:r>
      <w:r w:rsidR="00357BD6">
        <w:rPr>
          <w:rFonts w:ascii="Book Antiqua" w:hAnsi="Book Antiqua"/>
          <w:sz w:val="24"/>
          <w:szCs w:val="24"/>
        </w:rPr>
        <w:tab/>
      </w:r>
      <w:r w:rsidR="00357BD6">
        <w:rPr>
          <w:rFonts w:ascii="Book Antiqua" w:hAnsi="Book Antiqua"/>
          <w:sz w:val="24"/>
          <w:szCs w:val="24"/>
        </w:rPr>
        <w:tab/>
      </w:r>
      <w:r w:rsidR="00357BD6">
        <w:rPr>
          <w:rFonts w:ascii="Book Antiqua" w:hAnsi="Book Antiqua"/>
          <w:sz w:val="24"/>
          <w:szCs w:val="24"/>
        </w:rPr>
        <w:tab/>
      </w:r>
      <w:r w:rsidR="00357BD6">
        <w:rPr>
          <w:rFonts w:ascii="Book Antiqua" w:hAnsi="Book Antiqua"/>
          <w:sz w:val="24"/>
          <w:szCs w:val="24"/>
        </w:rPr>
        <w:tab/>
      </w:r>
      <w:r w:rsidR="00357BD6">
        <w:rPr>
          <w:rFonts w:ascii="Book Antiqua" w:hAnsi="Book Antiqua"/>
          <w:sz w:val="24"/>
          <w:szCs w:val="24"/>
        </w:rPr>
        <w:tab/>
        <w:t xml:space="preserve">        </w:t>
      </w:r>
      <w:r w:rsidR="00357BD6">
        <w:rPr>
          <w:rFonts w:ascii="Book Antiqua" w:hAnsi="Book Antiqua"/>
          <w:sz w:val="16"/>
          <w:szCs w:val="16"/>
        </w:rPr>
        <w:t>Month/date/year</w:t>
      </w:r>
    </w:p>
    <w:p w:rsidR="00E95BF9" w:rsidRDefault="00E95BF9" w:rsidP="006F3E07">
      <w:pPr>
        <w:rPr>
          <w:rFonts w:ascii="Book Antiqua" w:hAnsi="Book Antiqua"/>
          <w:sz w:val="24"/>
          <w:szCs w:val="24"/>
        </w:rPr>
      </w:pPr>
    </w:p>
    <w:p w:rsidR="00095320" w:rsidRDefault="00095320" w:rsidP="006F3E07">
      <w:pPr>
        <w:rPr>
          <w:rFonts w:ascii="Book Antiqua" w:hAnsi="Book Antiqua"/>
          <w:sz w:val="24"/>
          <w:szCs w:val="24"/>
        </w:rPr>
      </w:pPr>
    </w:p>
    <w:p w:rsidR="00095320" w:rsidRPr="006F3E07" w:rsidRDefault="00095320" w:rsidP="006F3E07">
      <w:pPr>
        <w:rPr>
          <w:rFonts w:ascii="Book Antiqua" w:hAnsi="Book Antiqua"/>
          <w:sz w:val="24"/>
          <w:szCs w:val="24"/>
        </w:rPr>
      </w:pPr>
    </w:p>
    <w:p w:rsidR="00F55945" w:rsidRDefault="00095320" w:rsidP="00F55945">
      <w:pPr>
        <w:ind w:left="360" w:firstLine="0"/>
        <w:rPr>
          <w:rFonts w:ascii="Book Antiqua" w:hAnsi="Book Antiqua"/>
        </w:rPr>
      </w:pPr>
      <w:r w:rsidRPr="00095320">
        <w:rPr>
          <w:rFonts w:ascii="Book Antiqua" w:hAnsi="Book Antiqua"/>
        </w:rPr>
        <w:t>Please scan this</w:t>
      </w:r>
      <w:r>
        <w:rPr>
          <w:rFonts w:ascii="Book Antiqua" w:hAnsi="Book Antiqua"/>
        </w:rPr>
        <w:t xml:space="preserve"> C</w:t>
      </w:r>
      <w:r w:rsidRPr="00095320">
        <w:rPr>
          <w:rFonts w:ascii="Book Antiqua" w:hAnsi="Book Antiqua"/>
        </w:rPr>
        <w:t>oversheet and the Annual Competency Based Worksheet into the training database when fully completed.</w:t>
      </w:r>
      <w:r w:rsidR="00F55945">
        <w:rPr>
          <w:rFonts w:ascii="Book Antiqua" w:hAnsi="Book Antiqua"/>
        </w:rPr>
        <w:t xml:space="preserve"> </w:t>
      </w:r>
    </w:p>
    <w:p w:rsidR="00F55945" w:rsidRDefault="00F55945" w:rsidP="00F55945">
      <w:pPr>
        <w:ind w:left="360" w:firstLine="0"/>
        <w:rPr>
          <w:rFonts w:ascii="Book Antiqua" w:hAnsi="Book Antiqua"/>
        </w:rPr>
      </w:pPr>
    </w:p>
    <w:p w:rsidR="00F55945" w:rsidRDefault="00F55945" w:rsidP="00F55945">
      <w:pPr>
        <w:ind w:left="360" w:firstLine="0"/>
        <w:rPr>
          <w:rFonts w:ascii="Book Antiqua" w:hAnsi="Book Antiqua"/>
        </w:rPr>
      </w:pPr>
    </w:p>
    <w:p w:rsidR="00F55945" w:rsidRDefault="00F55945" w:rsidP="00F55945">
      <w:pPr>
        <w:ind w:left="360" w:firstLine="0"/>
        <w:rPr>
          <w:rFonts w:ascii="Book Antiqua" w:hAnsi="Book Antiqua"/>
        </w:rPr>
      </w:pPr>
    </w:p>
    <w:p w:rsidR="00F55945" w:rsidRDefault="00F55945" w:rsidP="00F55945">
      <w:pPr>
        <w:ind w:left="360" w:firstLine="0"/>
        <w:rPr>
          <w:rFonts w:ascii="Book Antiqua" w:hAnsi="Book Antiqua"/>
        </w:rPr>
      </w:pPr>
    </w:p>
    <w:p w:rsidR="00F55945" w:rsidRDefault="00F55945" w:rsidP="00F55945">
      <w:pPr>
        <w:ind w:left="360" w:firstLine="0"/>
        <w:rPr>
          <w:rFonts w:ascii="Book Antiqua" w:hAnsi="Book Antiqua"/>
        </w:rPr>
      </w:pPr>
    </w:p>
    <w:p w:rsidR="00F55945" w:rsidRPr="00F55945" w:rsidRDefault="00F55945" w:rsidP="00F55945">
      <w:pPr>
        <w:ind w:left="360" w:firstLine="0"/>
        <w:rPr>
          <w:rFonts w:ascii="Book Antiqua" w:hAnsi="Book Antiqua"/>
          <w:sz w:val="24"/>
          <w:szCs w:val="24"/>
        </w:rPr>
      </w:pPr>
    </w:p>
    <w:p w:rsidR="00F55945" w:rsidRDefault="00F55945" w:rsidP="00357BD6">
      <w:pPr>
        <w:ind w:firstLine="0"/>
        <w:jc w:val="center"/>
        <w:rPr>
          <w:rFonts w:eastAsiaTheme="minorHAnsi"/>
          <w:b/>
          <w:sz w:val="32"/>
          <w:szCs w:val="32"/>
        </w:rPr>
      </w:pPr>
    </w:p>
    <w:p w:rsidR="00357BD6" w:rsidRDefault="00357BD6" w:rsidP="00357BD6">
      <w:pPr>
        <w:ind w:firstLine="0"/>
        <w:jc w:val="center"/>
        <w:rPr>
          <w:rFonts w:eastAsiaTheme="minorHAnsi"/>
          <w:b/>
          <w:sz w:val="32"/>
          <w:szCs w:val="32"/>
        </w:rPr>
      </w:pPr>
      <w:r w:rsidRPr="00357BD6">
        <w:rPr>
          <w:rFonts w:eastAsiaTheme="minorHAnsi"/>
          <w:b/>
          <w:sz w:val="32"/>
          <w:szCs w:val="32"/>
        </w:rPr>
        <w:t>Review of Rights of Persons Served</w:t>
      </w:r>
    </w:p>
    <w:p w:rsidR="00357BD6" w:rsidRPr="00357BD6" w:rsidRDefault="00357BD6" w:rsidP="00357BD6">
      <w:pPr>
        <w:ind w:firstLine="0"/>
        <w:jc w:val="center"/>
        <w:rPr>
          <w:rFonts w:eastAsiaTheme="minorHAnsi"/>
          <w:b/>
          <w:sz w:val="24"/>
          <w:szCs w:val="24"/>
        </w:rPr>
      </w:pPr>
      <w:r>
        <w:rPr>
          <w:rFonts w:eastAsiaTheme="minorHAnsi"/>
          <w:b/>
          <w:sz w:val="24"/>
          <w:szCs w:val="24"/>
        </w:rPr>
        <w:t>(</w:t>
      </w:r>
      <w:r w:rsidRPr="00357BD6">
        <w:rPr>
          <w:rFonts w:eastAsiaTheme="minorHAnsi"/>
          <w:b/>
          <w:sz w:val="24"/>
          <w:szCs w:val="24"/>
        </w:rPr>
        <w:t>Included with Coversheet for Emphasis</w:t>
      </w:r>
      <w:r w:rsidR="00CB29AE">
        <w:rPr>
          <w:rFonts w:eastAsiaTheme="minorHAnsi"/>
          <w:b/>
          <w:sz w:val="24"/>
          <w:szCs w:val="24"/>
        </w:rPr>
        <w:t xml:space="preserve"> and Accuracy</w:t>
      </w:r>
      <w:r>
        <w:rPr>
          <w:rFonts w:eastAsiaTheme="minorHAnsi"/>
          <w:b/>
          <w:sz w:val="24"/>
          <w:szCs w:val="24"/>
        </w:rPr>
        <w:t>)</w:t>
      </w:r>
    </w:p>
    <w:p w:rsidR="00357BD6" w:rsidRPr="00357BD6" w:rsidRDefault="00357BD6" w:rsidP="00357BD6">
      <w:pPr>
        <w:ind w:firstLine="0"/>
        <w:jc w:val="center"/>
        <w:rPr>
          <w:rFonts w:eastAsiaTheme="minorHAnsi"/>
          <w:b/>
          <w:sz w:val="24"/>
          <w:szCs w:val="24"/>
        </w:rPr>
      </w:pPr>
    </w:p>
    <w:p w:rsidR="00357BD6" w:rsidRPr="00357BD6" w:rsidRDefault="00357BD6" w:rsidP="00357BD6">
      <w:pPr>
        <w:ind w:firstLine="0"/>
        <w:jc w:val="center"/>
        <w:rPr>
          <w:rFonts w:eastAsiaTheme="minorHAnsi"/>
          <w:b/>
        </w:rPr>
      </w:pPr>
      <w:r w:rsidRPr="00357BD6">
        <w:rPr>
          <w:rFonts w:eastAsiaTheme="minorHAnsi"/>
          <w:b/>
        </w:rPr>
        <w:t>Article 63- Developmental Disabilities- Licensing Providers of Community Services</w:t>
      </w:r>
    </w:p>
    <w:p w:rsidR="00357BD6" w:rsidRPr="00357BD6" w:rsidRDefault="00357BD6" w:rsidP="00357BD6">
      <w:pPr>
        <w:ind w:firstLine="0"/>
        <w:jc w:val="center"/>
        <w:rPr>
          <w:rFonts w:eastAsiaTheme="minorHAnsi"/>
          <w:b/>
        </w:rPr>
      </w:pPr>
    </w:p>
    <w:p w:rsidR="00357BD6" w:rsidRPr="00357BD6" w:rsidRDefault="00357BD6" w:rsidP="00357BD6">
      <w:pPr>
        <w:ind w:firstLine="0"/>
        <w:rPr>
          <w:rFonts w:eastAsiaTheme="minorHAnsi"/>
          <w:b/>
        </w:rPr>
      </w:pPr>
      <w:r w:rsidRPr="00357BD6">
        <w:rPr>
          <w:rFonts w:eastAsiaTheme="minorHAnsi"/>
          <w:b/>
        </w:rPr>
        <w:t xml:space="preserve">Regulation 30-63-22.  Individual rights and responsibilities </w:t>
      </w:r>
      <w:r w:rsidRPr="00357BD6">
        <w:rPr>
          <w:rFonts w:eastAsiaTheme="minorHAnsi"/>
        </w:rPr>
        <w:t xml:space="preserve">(of persons served). </w:t>
      </w:r>
      <w:r w:rsidRPr="00357BD6">
        <w:rPr>
          <w:rFonts w:eastAsiaTheme="minorHAnsi"/>
          <w:b/>
        </w:rPr>
        <w:t>(a) Each provider</w:t>
      </w:r>
      <w:r w:rsidRPr="00357BD6">
        <w:rPr>
          <w:rFonts w:eastAsiaTheme="minorHAnsi"/>
        </w:rPr>
        <w:t xml:space="preserve"> (Cottonwood) </w:t>
      </w:r>
      <w:r w:rsidRPr="00357BD6">
        <w:rPr>
          <w:rFonts w:eastAsiaTheme="minorHAnsi"/>
          <w:b/>
        </w:rPr>
        <w:t>shall at all times encourage and assist each person served to understand and exercise the person’s individual rights and to assume the responsibilities that accompany those rights.</w:t>
      </w:r>
    </w:p>
    <w:p w:rsidR="00357BD6" w:rsidRPr="00357BD6" w:rsidRDefault="00357BD6" w:rsidP="00357BD6">
      <w:pPr>
        <w:ind w:firstLine="0"/>
        <w:rPr>
          <w:rFonts w:eastAsiaTheme="minorHAnsi"/>
          <w:b/>
        </w:rPr>
      </w:pPr>
    </w:p>
    <w:p w:rsidR="00357BD6" w:rsidRDefault="00357BD6" w:rsidP="00357BD6">
      <w:pPr>
        <w:ind w:firstLine="0"/>
        <w:rPr>
          <w:rFonts w:eastAsiaTheme="minorHAnsi"/>
          <w:sz w:val="20"/>
          <w:szCs w:val="20"/>
        </w:rPr>
      </w:pPr>
      <w:r w:rsidRPr="00357BD6">
        <w:rPr>
          <w:rFonts w:eastAsiaTheme="minorHAnsi"/>
          <w:b/>
        </w:rPr>
        <w:tab/>
      </w:r>
      <w:r w:rsidRPr="00357BD6">
        <w:rPr>
          <w:rFonts w:eastAsiaTheme="minorHAnsi"/>
          <w:sz w:val="20"/>
          <w:szCs w:val="20"/>
        </w:rPr>
        <w:t>(b) Each person served shall be guaranteed the same rights afforded to individuals without disabilities.  These rights may be limited only by provisions of law or court order, including guardianship, conservatorship, power of attorney or other judicial determination.  These rights shall include the following:</w:t>
      </w:r>
    </w:p>
    <w:p w:rsidR="00357BD6" w:rsidRPr="00357BD6" w:rsidRDefault="00357BD6" w:rsidP="00357BD6">
      <w:pPr>
        <w:ind w:firstLine="0"/>
        <w:rPr>
          <w:rFonts w:eastAsiaTheme="minorHAnsi"/>
          <w:sz w:val="20"/>
          <w:szCs w:val="20"/>
        </w:rPr>
      </w:pPr>
    </w:p>
    <w:p w:rsidR="00357BD6" w:rsidRPr="00357BD6" w:rsidRDefault="00357BD6" w:rsidP="00357BD6">
      <w:pPr>
        <w:ind w:firstLine="0"/>
        <w:rPr>
          <w:rFonts w:eastAsiaTheme="minorHAnsi"/>
          <w:sz w:val="20"/>
          <w:szCs w:val="20"/>
        </w:rPr>
      </w:pPr>
      <w:r w:rsidRPr="00357BD6">
        <w:rPr>
          <w:rFonts w:eastAsiaTheme="minorHAnsi"/>
          <w:sz w:val="20"/>
          <w:szCs w:val="20"/>
        </w:rPr>
        <w:tab/>
        <w:t xml:space="preserve">(1)  </w:t>
      </w:r>
      <w:proofErr w:type="gramStart"/>
      <w:r w:rsidRPr="00357BD6">
        <w:rPr>
          <w:rFonts w:eastAsiaTheme="minorHAnsi"/>
          <w:sz w:val="20"/>
          <w:szCs w:val="20"/>
        </w:rPr>
        <w:t>being</w:t>
      </w:r>
      <w:proofErr w:type="gramEnd"/>
      <w:r w:rsidRPr="00357BD6">
        <w:rPr>
          <w:rFonts w:eastAsiaTheme="minorHAnsi"/>
          <w:sz w:val="20"/>
          <w:szCs w:val="20"/>
        </w:rPr>
        <w:t xml:space="preserve"> free from physical or psychological abuse or neglect, and from financial exploitation;</w:t>
      </w:r>
    </w:p>
    <w:p w:rsidR="00357BD6" w:rsidRPr="00357BD6" w:rsidRDefault="00357BD6" w:rsidP="00357BD6">
      <w:pPr>
        <w:ind w:firstLine="0"/>
        <w:rPr>
          <w:rFonts w:eastAsiaTheme="minorHAnsi"/>
          <w:sz w:val="20"/>
          <w:szCs w:val="20"/>
        </w:rPr>
      </w:pPr>
      <w:r w:rsidRPr="00357BD6">
        <w:rPr>
          <w:rFonts w:eastAsiaTheme="minorHAnsi"/>
          <w:sz w:val="20"/>
          <w:szCs w:val="20"/>
        </w:rPr>
        <w:t>(</w:t>
      </w:r>
      <w:proofErr w:type="gramStart"/>
      <w:r w:rsidRPr="00357BD6">
        <w:rPr>
          <w:rFonts w:eastAsiaTheme="minorHAnsi"/>
          <w:sz w:val="20"/>
          <w:szCs w:val="20"/>
        </w:rPr>
        <w:t>see</w:t>
      </w:r>
      <w:proofErr w:type="gramEnd"/>
      <w:r w:rsidRPr="00357BD6">
        <w:rPr>
          <w:rFonts w:eastAsiaTheme="minorHAnsi"/>
          <w:sz w:val="20"/>
          <w:szCs w:val="20"/>
        </w:rPr>
        <w:t xml:space="preserve"> CW policy #05-036 “Protection from Abuse/Neglect/Exploitation” for definitions and reporting options)</w:t>
      </w:r>
    </w:p>
    <w:p w:rsidR="00357BD6" w:rsidRPr="00357BD6" w:rsidRDefault="00357BD6" w:rsidP="00357BD6">
      <w:pPr>
        <w:ind w:firstLine="0"/>
        <w:rPr>
          <w:rFonts w:eastAsiaTheme="minorHAnsi"/>
          <w:sz w:val="20"/>
          <w:szCs w:val="20"/>
        </w:rPr>
      </w:pPr>
      <w:r w:rsidRPr="00357BD6">
        <w:rPr>
          <w:rFonts w:eastAsiaTheme="minorHAnsi"/>
          <w:sz w:val="20"/>
          <w:szCs w:val="20"/>
        </w:rPr>
        <w:t>____________________________________________________________________________</w:t>
      </w:r>
      <w:r>
        <w:rPr>
          <w:rFonts w:eastAsiaTheme="minorHAnsi"/>
          <w:sz w:val="20"/>
          <w:szCs w:val="20"/>
        </w:rPr>
        <w:t>__________</w:t>
      </w:r>
    </w:p>
    <w:p w:rsidR="00357BD6" w:rsidRPr="00357BD6" w:rsidRDefault="00357BD6" w:rsidP="00357BD6">
      <w:pPr>
        <w:ind w:firstLine="0"/>
        <w:rPr>
          <w:rFonts w:eastAsiaTheme="minorHAnsi"/>
          <w:sz w:val="20"/>
          <w:szCs w:val="20"/>
        </w:rPr>
      </w:pPr>
      <w:r w:rsidRPr="00357BD6">
        <w:rPr>
          <w:rFonts w:eastAsiaTheme="minorHAnsi"/>
          <w:sz w:val="20"/>
          <w:szCs w:val="20"/>
        </w:rPr>
        <w:tab/>
        <w:t xml:space="preserve">(2)  </w:t>
      </w:r>
      <w:proofErr w:type="gramStart"/>
      <w:r w:rsidRPr="00357BD6">
        <w:rPr>
          <w:rFonts w:eastAsiaTheme="minorHAnsi"/>
          <w:sz w:val="20"/>
          <w:szCs w:val="20"/>
        </w:rPr>
        <w:t>having</w:t>
      </w:r>
      <w:proofErr w:type="gramEnd"/>
      <w:r w:rsidRPr="00357BD6">
        <w:rPr>
          <w:rFonts w:eastAsiaTheme="minorHAnsi"/>
          <w:sz w:val="20"/>
          <w:szCs w:val="20"/>
        </w:rPr>
        <w:t xml:space="preserve"> control over the person’s own financial resources; (#30-028 “Consumer Money”)</w:t>
      </w:r>
    </w:p>
    <w:p w:rsidR="00357BD6" w:rsidRPr="00357BD6" w:rsidRDefault="00357BD6" w:rsidP="00357BD6">
      <w:pPr>
        <w:ind w:firstLine="0"/>
        <w:rPr>
          <w:rFonts w:eastAsiaTheme="minorHAnsi"/>
          <w:sz w:val="20"/>
          <w:szCs w:val="20"/>
        </w:rPr>
      </w:pPr>
      <w:r w:rsidRPr="00357BD6">
        <w:rPr>
          <w:rFonts w:eastAsiaTheme="minorHAnsi"/>
          <w:sz w:val="20"/>
          <w:szCs w:val="20"/>
        </w:rPr>
        <w:t>_____________________________________________________________________</w:t>
      </w:r>
      <w:r>
        <w:rPr>
          <w:rFonts w:eastAsiaTheme="minorHAnsi"/>
          <w:sz w:val="20"/>
          <w:szCs w:val="20"/>
        </w:rPr>
        <w:t>______________________</w:t>
      </w:r>
    </w:p>
    <w:p w:rsidR="00357BD6" w:rsidRPr="00357BD6" w:rsidRDefault="00357BD6" w:rsidP="00357BD6">
      <w:pPr>
        <w:ind w:firstLine="0"/>
        <w:rPr>
          <w:rFonts w:eastAsiaTheme="minorHAnsi"/>
          <w:sz w:val="20"/>
          <w:szCs w:val="20"/>
        </w:rPr>
      </w:pPr>
      <w:r w:rsidRPr="00357BD6">
        <w:rPr>
          <w:rFonts w:eastAsiaTheme="minorHAnsi"/>
          <w:sz w:val="20"/>
          <w:szCs w:val="20"/>
        </w:rPr>
        <w:tab/>
        <w:t xml:space="preserve">(3)  </w:t>
      </w:r>
      <w:proofErr w:type="gramStart"/>
      <w:r w:rsidRPr="00357BD6">
        <w:rPr>
          <w:rFonts w:eastAsiaTheme="minorHAnsi"/>
          <w:sz w:val="20"/>
          <w:szCs w:val="20"/>
        </w:rPr>
        <w:t>being</w:t>
      </w:r>
      <w:proofErr w:type="gramEnd"/>
      <w:r w:rsidRPr="00357BD6">
        <w:rPr>
          <w:rFonts w:eastAsiaTheme="minorHAnsi"/>
          <w:sz w:val="20"/>
          <w:szCs w:val="20"/>
        </w:rPr>
        <w:t xml:space="preserve"> able to receive, purchase, have, and use the person’s personal property; (CW Consumer Handbook)</w:t>
      </w:r>
    </w:p>
    <w:p w:rsidR="00357BD6" w:rsidRPr="00357BD6" w:rsidRDefault="00357BD6" w:rsidP="00357BD6">
      <w:pPr>
        <w:ind w:firstLine="0"/>
        <w:rPr>
          <w:rFonts w:eastAsiaTheme="minorHAnsi"/>
          <w:sz w:val="20"/>
          <w:szCs w:val="20"/>
        </w:rPr>
      </w:pPr>
      <w:r w:rsidRPr="00357BD6">
        <w:rPr>
          <w:rFonts w:eastAsiaTheme="minorHAnsi"/>
          <w:sz w:val="20"/>
          <w:szCs w:val="20"/>
        </w:rPr>
        <w:t>_____________________________________________________________________</w:t>
      </w:r>
      <w:r>
        <w:rPr>
          <w:rFonts w:eastAsiaTheme="minorHAnsi"/>
          <w:sz w:val="20"/>
          <w:szCs w:val="20"/>
        </w:rPr>
        <w:t>_________________</w:t>
      </w:r>
    </w:p>
    <w:p w:rsidR="00357BD6" w:rsidRPr="00357BD6" w:rsidRDefault="00357BD6" w:rsidP="00357BD6">
      <w:pPr>
        <w:ind w:firstLine="0"/>
        <w:rPr>
          <w:rFonts w:eastAsiaTheme="minorHAnsi"/>
          <w:sz w:val="20"/>
          <w:szCs w:val="20"/>
        </w:rPr>
      </w:pPr>
      <w:r w:rsidRPr="00357BD6">
        <w:rPr>
          <w:rFonts w:eastAsiaTheme="minorHAnsi"/>
          <w:sz w:val="20"/>
          <w:szCs w:val="20"/>
        </w:rPr>
        <w:tab/>
        <w:t xml:space="preserve">(4)  </w:t>
      </w:r>
      <w:proofErr w:type="gramStart"/>
      <w:r w:rsidRPr="00357BD6">
        <w:rPr>
          <w:rFonts w:eastAsiaTheme="minorHAnsi"/>
          <w:sz w:val="20"/>
          <w:szCs w:val="20"/>
        </w:rPr>
        <w:t>actively</w:t>
      </w:r>
      <w:proofErr w:type="gramEnd"/>
      <w:r w:rsidRPr="00357BD6">
        <w:rPr>
          <w:rFonts w:eastAsiaTheme="minorHAnsi"/>
          <w:sz w:val="20"/>
          <w:szCs w:val="20"/>
        </w:rPr>
        <w:t xml:space="preserve"> and meaningfully making decisions affecting the person’s life;  (CW’s mission- “We help people with disabilities shape their own future”, #05-008 “Person Centered Support Plan”, #05-045 “Consumer Input into Services”)</w:t>
      </w:r>
    </w:p>
    <w:p w:rsidR="00357BD6" w:rsidRPr="00357BD6" w:rsidRDefault="00357BD6" w:rsidP="00357BD6">
      <w:pPr>
        <w:ind w:firstLine="0"/>
        <w:rPr>
          <w:rFonts w:eastAsiaTheme="minorHAnsi"/>
          <w:sz w:val="20"/>
          <w:szCs w:val="20"/>
        </w:rPr>
      </w:pPr>
      <w:r w:rsidRPr="00357BD6">
        <w:rPr>
          <w:rFonts w:eastAsiaTheme="minorHAnsi"/>
          <w:sz w:val="20"/>
          <w:szCs w:val="20"/>
        </w:rPr>
        <w:t>_____________________________________________________________________</w:t>
      </w:r>
      <w:r>
        <w:rPr>
          <w:rFonts w:eastAsiaTheme="minorHAnsi"/>
          <w:sz w:val="20"/>
          <w:szCs w:val="20"/>
        </w:rPr>
        <w:t>__________________</w:t>
      </w:r>
    </w:p>
    <w:p w:rsidR="00357BD6" w:rsidRPr="00357BD6" w:rsidRDefault="00357BD6" w:rsidP="00357BD6">
      <w:pPr>
        <w:ind w:firstLine="0"/>
        <w:rPr>
          <w:rFonts w:eastAsiaTheme="minorHAnsi"/>
          <w:sz w:val="20"/>
          <w:szCs w:val="20"/>
        </w:rPr>
      </w:pPr>
      <w:r w:rsidRPr="00357BD6">
        <w:rPr>
          <w:rFonts w:eastAsiaTheme="minorHAnsi"/>
          <w:sz w:val="20"/>
          <w:szCs w:val="20"/>
        </w:rPr>
        <w:tab/>
        <w:t xml:space="preserve">(5)  </w:t>
      </w:r>
      <w:proofErr w:type="gramStart"/>
      <w:r w:rsidRPr="00357BD6">
        <w:rPr>
          <w:rFonts w:eastAsiaTheme="minorHAnsi"/>
          <w:sz w:val="20"/>
          <w:szCs w:val="20"/>
        </w:rPr>
        <w:t>having</w:t>
      </w:r>
      <w:proofErr w:type="gramEnd"/>
      <w:r w:rsidRPr="00357BD6">
        <w:rPr>
          <w:rFonts w:eastAsiaTheme="minorHAnsi"/>
          <w:sz w:val="20"/>
          <w:szCs w:val="20"/>
        </w:rPr>
        <w:t xml:space="preserve"> privacy; ( Consumer Handbook, #05-022 “Human Sexuality”)</w:t>
      </w:r>
    </w:p>
    <w:p w:rsidR="00357BD6" w:rsidRPr="00357BD6" w:rsidRDefault="00357BD6" w:rsidP="00357BD6">
      <w:pPr>
        <w:ind w:firstLine="0"/>
        <w:rPr>
          <w:rFonts w:eastAsiaTheme="minorHAnsi"/>
          <w:sz w:val="20"/>
          <w:szCs w:val="20"/>
        </w:rPr>
      </w:pPr>
      <w:r w:rsidRPr="00357BD6">
        <w:rPr>
          <w:rFonts w:eastAsiaTheme="minorHAnsi"/>
          <w:sz w:val="20"/>
          <w:szCs w:val="20"/>
        </w:rPr>
        <w:t>_____________________________________________________________________</w:t>
      </w:r>
      <w:r>
        <w:rPr>
          <w:rFonts w:eastAsiaTheme="minorHAnsi"/>
          <w:sz w:val="20"/>
          <w:szCs w:val="20"/>
        </w:rPr>
        <w:t>________________________</w:t>
      </w:r>
    </w:p>
    <w:p w:rsidR="00357BD6" w:rsidRPr="00357BD6" w:rsidRDefault="00357BD6" w:rsidP="00357BD6">
      <w:pPr>
        <w:ind w:firstLine="0"/>
        <w:rPr>
          <w:rFonts w:eastAsiaTheme="minorHAnsi"/>
          <w:sz w:val="20"/>
          <w:szCs w:val="20"/>
        </w:rPr>
      </w:pPr>
      <w:r w:rsidRPr="00357BD6">
        <w:rPr>
          <w:rFonts w:eastAsiaTheme="minorHAnsi"/>
          <w:sz w:val="20"/>
          <w:szCs w:val="20"/>
        </w:rPr>
        <w:tab/>
        <w:t xml:space="preserve">(6)  </w:t>
      </w:r>
      <w:proofErr w:type="gramStart"/>
      <w:r w:rsidRPr="00357BD6">
        <w:rPr>
          <w:rFonts w:eastAsiaTheme="minorHAnsi"/>
          <w:sz w:val="20"/>
          <w:szCs w:val="20"/>
        </w:rPr>
        <w:t>being</w:t>
      </w:r>
      <w:proofErr w:type="gramEnd"/>
      <w:r w:rsidRPr="00357BD6">
        <w:rPr>
          <w:rFonts w:eastAsiaTheme="minorHAnsi"/>
          <w:sz w:val="20"/>
          <w:szCs w:val="20"/>
        </w:rPr>
        <w:t xml:space="preserve"> able to associate and communicate publicly or privately with any person or group of people of the person’s choice; (#05-021 “Visitors to Consumers”, Consumer Handbook)</w:t>
      </w:r>
    </w:p>
    <w:p w:rsidR="00357BD6" w:rsidRPr="00357BD6" w:rsidRDefault="00357BD6" w:rsidP="00357BD6">
      <w:pPr>
        <w:ind w:firstLine="0"/>
        <w:rPr>
          <w:rFonts w:eastAsiaTheme="minorHAnsi"/>
          <w:sz w:val="20"/>
          <w:szCs w:val="20"/>
        </w:rPr>
      </w:pPr>
      <w:r w:rsidRPr="00357BD6">
        <w:rPr>
          <w:rFonts w:eastAsiaTheme="minorHAnsi"/>
          <w:sz w:val="20"/>
          <w:szCs w:val="20"/>
        </w:rPr>
        <w:t>__________________________________________________________________</w:t>
      </w:r>
      <w:r>
        <w:rPr>
          <w:rFonts w:eastAsiaTheme="minorHAnsi"/>
          <w:sz w:val="20"/>
          <w:szCs w:val="20"/>
        </w:rPr>
        <w:t>_______________________</w:t>
      </w:r>
    </w:p>
    <w:p w:rsidR="00357BD6" w:rsidRPr="00357BD6" w:rsidRDefault="00357BD6" w:rsidP="00357BD6">
      <w:pPr>
        <w:ind w:firstLine="720"/>
        <w:rPr>
          <w:rFonts w:eastAsiaTheme="minorHAnsi"/>
          <w:sz w:val="20"/>
          <w:szCs w:val="20"/>
        </w:rPr>
      </w:pPr>
      <w:r w:rsidRPr="00357BD6">
        <w:rPr>
          <w:rFonts w:eastAsiaTheme="minorHAnsi"/>
          <w:sz w:val="20"/>
          <w:szCs w:val="20"/>
        </w:rPr>
        <w:t xml:space="preserve">(7)  </w:t>
      </w:r>
      <w:proofErr w:type="gramStart"/>
      <w:r w:rsidRPr="00357BD6">
        <w:rPr>
          <w:rFonts w:eastAsiaTheme="minorHAnsi"/>
          <w:sz w:val="20"/>
          <w:szCs w:val="20"/>
        </w:rPr>
        <w:t>being</w:t>
      </w:r>
      <w:proofErr w:type="gramEnd"/>
      <w:r w:rsidRPr="00357BD6">
        <w:rPr>
          <w:rFonts w:eastAsiaTheme="minorHAnsi"/>
          <w:sz w:val="20"/>
          <w:szCs w:val="20"/>
        </w:rPr>
        <w:t xml:space="preserve"> able to practice the religion or faith of the person’s choice; (#05-001 “Access to Cottonwood Services”, Consumer Handbook)</w:t>
      </w:r>
    </w:p>
    <w:p w:rsidR="00357BD6" w:rsidRPr="00357BD6" w:rsidRDefault="00357BD6" w:rsidP="00357BD6">
      <w:pPr>
        <w:ind w:firstLine="0"/>
        <w:rPr>
          <w:rFonts w:eastAsiaTheme="minorHAnsi"/>
          <w:sz w:val="20"/>
          <w:szCs w:val="20"/>
        </w:rPr>
      </w:pPr>
      <w:r w:rsidRPr="00357BD6">
        <w:rPr>
          <w:rFonts w:eastAsiaTheme="minorHAnsi"/>
          <w:sz w:val="20"/>
          <w:szCs w:val="20"/>
        </w:rPr>
        <w:t>_____________________________________________________________________</w:t>
      </w:r>
      <w:r>
        <w:rPr>
          <w:rFonts w:eastAsiaTheme="minorHAnsi"/>
          <w:sz w:val="20"/>
          <w:szCs w:val="20"/>
        </w:rPr>
        <w:t>___________________</w:t>
      </w:r>
    </w:p>
    <w:p w:rsidR="00357BD6" w:rsidRPr="00357BD6" w:rsidRDefault="00357BD6" w:rsidP="00357BD6">
      <w:pPr>
        <w:ind w:firstLine="0"/>
        <w:rPr>
          <w:rFonts w:eastAsiaTheme="minorHAnsi"/>
          <w:sz w:val="20"/>
          <w:szCs w:val="20"/>
        </w:rPr>
      </w:pPr>
      <w:r w:rsidRPr="00357BD6">
        <w:rPr>
          <w:rFonts w:eastAsiaTheme="minorHAnsi"/>
          <w:sz w:val="20"/>
          <w:szCs w:val="20"/>
        </w:rPr>
        <w:tab/>
        <w:t xml:space="preserve">(8)  being free from the inappropriate use of a physical or chemical restraint, medication, or isolation as punishment, for the convenience of a provider or agent, in conflict with a physician’s orders or as a substitute for treatment, except when physical restraint is in furtherance of the health and safety of the person; (#05-011 “Behavioral Supports”, #05-043 “Informed Consent”) </w:t>
      </w:r>
    </w:p>
    <w:p w:rsidR="00357BD6" w:rsidRPr="00357BD6" w:rsidRDefault="00357BD6" w:rsidP="00357BD6">
      <w:pPr>
        <w:ind w:firstLine="0"/>
        <w:rPr>
          <w:rFonts w:eastAsiaTheme="minorHAnsi"/>
          <w:sz w:val="20"/>
          <w:szCs w:val="20"/>
        </w:rPr>
      </w:pPr>
      <w:r w:rsidRPr="00357BD6">
        <w:rPr>
          <w:rFonts w:eastAsiaTheme="minorHAnsi"/>
          <w:sz w:val="20"/>
          <w:szCs w:val="20"/>
        </w:rPr>
        <w:t>____________________________________________________________________</w:t>
      </w:r>
      <w:r>
        <w:rPr>
          <w:rFonts w:eastAsiaTheme="minorHAnsi"/>
          <w:sz w:val="20"/>
          <w:szCs w:val="20"/>
        </w:rPr>
        <w:t>____________________</w:t>
      </w:r>
    </w:p>
    <w:p w:rsidR="00357BD6" w:rsidRPr="00357BD6" w:rsidRDefault="00357BD6" w:rsidP="00357BD6">
      <w:pPr>
        <w:ind w:firstLine="0"/>
        <w:rPr>
          <w:rFonts w:eastAsiaTheme="minorHAnsi"/>
          <w:sz w:val="20"/>
          <w:szCs w:val="20"/>
        </w:rPr>
      </w:pPr>
      <w:r w:rsidRPr="00357BD6">
        <w:rPr>
          <w:rFonts w:eastAsiaTheme="minorHAnsi"/>
          <w:sz w:val="20"/>
          <w:szCs w:val="20"/>
        </w:rPr>
        <w:tab/>
        <w:t>(9)  not being required to work without compensation, except when the person is living and being provided services outside of the home of a member of a person’s family, and then only for the purposes of the upkeep of the person’s living space and of common living areas and grounds that the person shares with others; (Consumer Handbook)</w:t>
      </w:r>
    </w:p>
    <w:p w:rsidR="00357BD6" w:rsidRPr="00357BD6" w:rsidRDefault="00357BD6" w:rsidP="00357BD6">
      <w:pPr>
        <w:ind w:firstLine="0"/>
        <w:rPr>
          <w:rFonts w:eastAsiaTheme="minorHAnsi"/>
          <w:sz w:val="20"/>
          <w:szCs w:val="20"/>
        </w:rPr>
      </w:pPr>
      <w:r w:rsidRPr="00357BD6">
        <w:rPr>
          <w:rFonts w:eastAsiaTheme="minorHAnsi"/>
          <w:sz w:val="20"/>
          <w:szCs w:val="20"/>
        </w:rPr>
        <w:t>_____________________________________________________________________</w:t>
      </w:r>
      <w:r>
        <w:rPr>
          <w:rFonts w:eastAsiaTheme="minorHAnsi"/>
          <w:sz w:val="20"/>
          <w:szCs w:val="20"/>
        </w:rPr>
        <w:t>__________________</w:t>
      </w:r>
    </w:p>
    <w:p w:rsidR="00357BD6" w:rsidRPr="00357BD6" w:rsidRDefault="00357BD6" w:rsidP="00357BD6">
      <w:pPr>
        <w:ind w:firstLine="0"/>
        <w:rPr>
          <w:rFonts w:eastAsiaTheme="minorHAnsi"/>
          <w:sz w:val="20"/>
          <w:szCs w:val="20"/>
        </w:rPr>
      </w:pPr>
      <w:r w:rsidRPr="00357BD6">
        <w:rPr>
          <w:rFonts w:eastAsiaTheme="minorHAnsi"/>
          <w:sz w:val="20"/>
          <w:szCs w:val="20"/>
        </w:rPr>
        <w:t xml:space="preserve">             (10)  </w:t>
      </w:r>
      <w:proofErr w:type="gramStart"/>
      <w:r w:rsidRPr="00357BD6">
        <w:rPr>
          <w:rFonts w:eastAsiaTheme="minorHAnsi"/>
          <w:sz w:val="20"/>
          <w:szCs w:val="20"/>
        </w:rPr>
        <w:t>being</w:t>
      </w:r>
      <w:proofErr w:type="gramEnd"/>
      <w:r w:rsidRPr="00357BD6">
        <w:rPr>
          <w:rFonts w:eastAsiaTheme="minorHAnsi"/>
          <w:sz w:val="20"/>
          <w:szCs w:val="20"/>
        </w:rPr>
        <w:t xml:space="preserve"> treated with dignity and respect; (job  descriptions, Cottonwood Code of Ethics)</w:t>
      </w:r>
    </w:p>
    <w:p w:rsidR="00357BD6" w:rsidRPr="00357BD6" w:rsidRDefault="00357BD6" w:rsidP="00357BD6">
      <w:pPr>
        <w:ind w:firstLine="0"/>
        <w:rPr>
          <w:rFonts w:eastAsiaTheme="minorHAnsi"/>
          <w:sz w:val="20"/>
          <w:szCs w:val="20"/>
        </w:rPr>
      </w:pPr>
      <w:r w:rsidRPr="00357BD6">
        <w:rPr>
          <w:rFonts w:eastAsiaTheme="minorHAnsi"/>
          <w:sz w:val="20"/>
          <w:szCs w:val="20"/>
        </w:rPr>
        <w:t>_____________________________________________________________________</w:t>
      </w:r>
      <w:r>
        <w:rPr>
          <w:rFonts w:eastAsiaTheme="minorHAnsi"/>
          <w:sz w:val="20"/>
          <w:szCs w:val="20"/>
        </w:rPr>
        <w:t>________________________</w:t>
      </w:r>
    </w:p>
    <w:p w:rsidR="00357BD6" w:rsidRPr="00357BD6" w:rsidRDefault="00357BD6" w:rsidP="00357BD6">
      <w:pPr>
        <w:ind w:firstLine="0"/>
        <w:rPr>
          <w:rFonts w:eastAsiaTheme="minorHAnsi"/>
          <w:sz w:val="20"/>
          <w:szCs w:val="20"/>
        </w:rPr>
      </w:pPr>
      <w:r w:rsidRPr="00357BD6">
        <w:rPr>
          <w:rFonts w:eastAsiaTheme="minorHAnsi"/>
          <w:sz w:val="20"/>
          <w:szCs w:val="20"/>
        </w:rPr>
        <w:t xml:space="preserve">             (11)  </w:t>
      </w:r>
      <w:proofErr w:type="gramStart"/>
      <w:r w:rsidRPr="00357BD6">
        <w:rPr>
          <w:rFonts w:eastAsiaTheme="minorHAnsi"/>
          <w:sz w:val="20"/>
          <w:szCs w:val="20"/>
        </w:rPr>
        <w:t>receiving</w:t>
      </w:r>
      <w:proofErr w:type="gramEnd"/>
      <w:r w:rsidRPr="00357BD6">
        <w:rPr>
          <w:rFonts w:eastAsiaTheme="minorHAnsi"/>
          <w:sz w:val="20"/>
          <w:szCs w:val="20"/>
        </w:rPr>
        <w:t xml:space="preserve"> due process;  (Consumer Handbook, #05-015 “Consumer Grievance/Conflict Resolution”)</w:t>
      </w:r>
    </w:p>
    <w:p w:rsidR="00357BD6" w:rsidRPr="00357BD6" w:rsidRDefault="00357BD6" w:rsidP="00357BD6">
      <w:pPr>
        <w:ind w:firstLine="0"/>
        <w:rPr>
          <w:rFonts w:eastAsiaTheme="minorHAnsi"/>
          <w:sz w:val="20"/>
          <w:szCs w:val="20"/>
        </w:rPr>
      </w:pPr>
      <w:r w:rsidRPr="00357BD6">
        <w:rPr>
          <w:rFonts w:eastAsiaTheme="minorHAnsi"/>
          <w:sz w:val="20"/>
          <w:szCs w:val="20"/>
        </w:rPr>
        <w:t>______________________________________________________________________</w:t>
      </w:r>
      <w:r>
        <w:rPr>
          <w:rFonts w:eastAsiaTheme="minorHAnsi"/>
          <w:sz w:val="20"/>
          <w:szCs w:val="20"/>
        </w:rPr>
        <w:t>_____________________</w:t>
      </w:r>
    </w:p>
    <w:p w:rsidR="00357BD6" w:rsidRPr="00357BD6" w:rsidRDefault="00357BD6" w:rsidP="00357BD6">
      <w:pPr>
        <w:ind w:firstLine="0"/>
        <w:rPr>
          <w:rFonts w:eastAsiaTheme="minorHAnsi"/>
          <w:sz w:val="20"/>
          <w:szCs w:val="20"/>
        </w:rPr>
      </w:pPr>
      <w:r w:rsidRPr="00357BD6">
        <w:rPr>
          <w:rFonts w:eastAsiaTheme="minorHAnsi"/>
          <w:sz w:val="20"/>
          <w:szCs w:val="20"/>
        </w:rPr>
        <w:t xml:space="preserve">             (12)  </w:t>
      </w:r>
      <w:proofErr w:type="gramStart"/>
      <w:r w:rsidRPr="00357BD6">
        <w:rPr>
          <w:rFonts w:eastAsiaTheme="minorHAnsi"/>
          <w:sz w:val="20"/>
          <w:szCs w:val="20"/>
        </w:rPr>
        <w:t>having</w:t>
      </w:r>
      <w:proofErr w:type="gramEnd"/>
      <w:r w:rsidRPr="00357BD6">
        <w:rPr>
          <w:rFonts w:eastAsiaTheme="minorHAnsi"/>
          <w:sz w:val="20"/>
          <w:szCs w:val="20"/>
        </w:rPr>
        <w:t xml:space="preserve"> access to the person’s own records, including information about how the person’s funding is accessed and utilized and what services were billed for on the person’s behalf. (#05-028 “Confidentiality of Consumer Information”, Consumer Handbook)</w:t>
      </w:r>
    </w:p>
    <w:p w:rsidR="00357BD6" w:rsidRPr="00357BD6" w:rsidRDefault="00357BD6" w:rsidP="00357BD6">
      <w:pPr>
        <w:ind w:firstLine="0"/>
        <w:rPr>
          <w:rFonts w:eastAsiaTheme="minorHAnsi"/>
          <w:sz w:val="20"/>
          <w:szCs w:val="20"/>
        </w:rPr>
      </w:pPr>
      <w:r w:rsidRPr="00357BD6">
        <w:rPr>
          <w:rFonts w:eastAsiaTheme="minorHAnsi"/>
          <w:sz w:val="20"/>
          <w:szCs w:val="20"/>
        </w:rPr>
        <w:t>______________________________________________________________________</w:t>
      </w:r>
      <w:r>
        <w:rPr>
          <w:rFonts w:eastAsiaTheme="minorHAnsi"/>
          <w:sz w:val="20"/>
          <w:szCs w:val="20"/>
        </w:rPr>
        <w:t>_______________________</w:t>
      </w:r>
    </w:p>
    <w:p w:rsidR="00357BD6" w:rsidRPr="00357BD6" w:rsidRDefault="00357BD6" w:rsidP="00357BD6">
      <w:pPr>
        <w:ind w:firstLine="0"/>
        <w:rPr>
          <w:rFonts w:eastAsiaTheme="minorHAnsi"/>
          <w:sz w:val="20"/>
          <w:szCs w:val="20"/>
        </w:rPr>
      </w:pPr>
      <w:r w:rsidRPr="00357BD6">
        <w:rPr>
          <w:rFonts w:eastAsiaTheme="minorHAnsi"/>
          <w:sz w:val="20"/>
          <w:szCs w:val="20"/>
        </w:rPr>
        <w:tab/>
        <w:t>(c)  Each provider shall train its agents regarding the rights specified in subsection (b).  In addition, each provider shall offer training at least annually regarding these rights and effective ways to exercise them to each person served, to the guardian if one is appointed, and to the person’s parent and other individuals from each person’s support network.</w:t>
      </w:r>
    </w:p>
    <w:p w:rsidR="00357BD6" w:rsidRDefault="00357BD6" w:rsidP="00F55945">
      <w:pPr>
        <w:ind w:firstLine="0"/>
        <w:rPr>
          <w:rFonts w:ascii="Book Antiqua" w:hAnsi="Book Antiqua"/>
          <w:sz w:val="24"/>
          <w:szCs w:val="24"/>
        </w:rPr>
      </w:pPr>
    </w:p>
    <w:p w:rsidR="00357BD6" w:rsidRDefault="00357BD6" w:rsidP="0053339B">
      <w:pPr>
        <w:rPr>
          <w:rFonts w:ascii="Book Antiqua" w:hAnsi="Book Antiqua"/>
          <w:sz w:val="24"/>
          <w:szCs w:val="24"/>
        </w:rPr>
      </w:pPr>
    </w:p>
    <w:p w:rsidR="00357BD6" w:rsidRDefault="00357BD6" w:rsidP="0053339B">
      <w:pPr>
        <w:rPr>
          <w:rFonts w:ascii="Book Antiqua" w:hAnsi="Book Antiqua"/>
          <w:sz w:val="24"/>
          <w:szCs w:val="24"/>
        </w:rPr>
      </w:pPr>
    </w:p>
    <w:p w:rsidR="00357BD6" w:rsidRPr="006F3E07" w:rsidRDefault="00357BD6" w:rsidP="0053339B">
      <w:pPr>
        <w:rPr>
          <w:rFonts w:ascii="Book Antiqua" w:hAnsi="Book Antiqua"/>
          <w:sz w:val="24"/>
          <w:szCs w:val="24"/>
        </w:rPr>
      </w:pPr>
    </w:p>
    <w:sectPr w:rsidR="00357BD6" w:rsidRPr="006F3E07" w:rsidSect="00F559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39B"/>
    <w:rsid w:val="00095320"/>
    <w:rsid w:val="00100E2B"/>
    <w:rsid w:val="001956EA"/>
    <w:rsid w:val="00357BD6"/>
    <w:rsid w:val="004A494F"/>
    <w:rsid w:val="0053339B"/>
    <w:rsid w:val="00632676"/>
    <w:rsid w:val="006A334E"/>
    <w:rsid w:val="006F3E07"/>
    <w:rsid w:val="00946656"/>
    <w:rsid w:val="009D0368"/>
    <w:rsid w:val="009E07B1"/>
    <w:rsid w:val="00CB29AE"/>
    <w:rsid w:val="00E95BF9"/>
    <w:rsid w:val="00F55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39B"/>
  </w:style>
  <w:style w:type="paragraph" w:styleId="Heading1">
    <w:name w:val="heading 1"/>
    <w:basedOn w:val="Normal"/>
    <w:next w:val="Normal"/>
    <w:link w:val="Heading1Char"/>
    <w:uiPriority w:val="9"/>
    <w:qFormat/>
    <w:rsid w:val="0053339B"/>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53339B"/>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53339B"/>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53339B"/>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53339B"/>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53339B"/>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53339B"/>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53339B"/>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53339B"/>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39B"/>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53339B"/>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53339B"/>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53339B"/>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53339B"/>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53339B"/>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53339B"/>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53339B"/>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53339B"/>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53339B"/>
    <w:rPr>
      <w:b/>
      <w:bCs/>
      <w:sz w:val="18"/>
      <w:szCs w:val="18"/>
    </w:rPr>
  </w:style>
  <w:style w:type="paragraph" w:styleId="Title">
    <w:name w:val="Title"/>
    <w:basedOn w:val="Normal"/>
    <w:next w:val="Normal"/>
    <w:link w:val="TitleChar"/>
    <w:uiPriority w:val="10"/>
    <w:qFormat/>
    <w:rsid w:val="0053339B"/>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53339B"/>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53339B"/>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53339B"/>
    <w:rPr>
      <w:i/>
      <w:iCs/>
      <w:sz w:val="24"/>
      <w:szCs w:val="24"/>
    </w:rPr>
  </w:style>
  <w:style w:type="character" w:styleId="Strong">
    <w:name w:val="Strong"/>
    <w:basedOn w:val="DefaultParagraphFont"/>
    <w:uiPriority w:val="22"/>
    <w:qFormat/>
    <w:rsid w:val="0053339B"/>
    <w:rPr>
      <w:b/>
      <w:bCs/>
      <w:spacing w:val="0"/>
    </w:rPr>
  </w:style>
  <w:style w:type="character" w:styleId="Emphasis">
    <w:name w:val="Emphasis"/>
    <w:uiPriority w:val="20"/>
    <w:qFormat/>
    <w:rsid w:val="0053339B"/>
    <w:rPr>
      <w:b/>
      <w:bCs/>
      <w:i/>
      <w:iCs/>
      <w:color w:val="5A5A5A" w:themeColor="text1" w:themeTint="A5"/>
    </w:rPr>
  </w:style>
  <w:style w:type="paragraph" w:styleId="NoSpacing">
    <w:name w:val="No Spacing"/>
    <w:basedOn w:val="Normal"/>
    <w:link w:val="NoSpacingChar"/>
    <w:uiPriority w:val="1"/>
    <w:qFormat/>
    <w:rsid w:val="0053339B"/>
    <w:pPr>
      <w:ind w:firstLine="0"/>
    </w:pPr>
  </w:style>
  <w:style w:type="character" w:customStyle="1" w:styleId="NoSpacingChar">
    <w:name w:val="No Spacing Char"/>
    <w:basedOn w:val="DefaultParagraphFont"/>
    <w:link w:val="NoSpacing"/>
    <w:uiPriority w:val="1"/>
    <w:rsid w:val="0053339B"/>
  </w:style>
  <w:style w:type="paragraph" w:styleId="ListParagraph">
    <w:name w:val="List Paragraph"/>
    <w:basedOn w:val="Normal"/>
    <w:uiPriority w:val="34"/>
    <w:qFormat/>
    <w:rsid w:val="0053339B"/>
    <w:pPr>
      <w:ind w:left="720"/>
      <w:contextualSpacing/>
    </w:pPr>
  </w:style>
  <w:style w:type="paragraph" w:styleId="Quote">
    <w:name w:val="Quote"/>
    <w:basedOn w:val="Normal"/>
    <w:next w:val="Normal"/>
    <w:link w:val="QuoteChar"/>
    <w:uiPriority w:val="29"/>
    <w:qFormat/>
    <w:rsid w:val="0053339B"/>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53339B"/>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53339B"/>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53339B"/>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53339B"/>
    <w:rPr>
      <w:i/>
      <w:iCs/>
      <w:color w:val="5A5A5A" w:themeColor="text1" w:themeTint="A5"/>
    </w:rPr>
  </w:style>
  <w:style w:type="character" w:styleId="IntenseEmphasis">
    <w:name w:val="Intense Emphasis"/>
    <w:uiPriority w:val="21"/>
    <w:qFormat/>
    <w:rsid w:val="0053339B"/>
    <w:rPr>
      <w:b/>
      <w:bCs/>
      <w:i/>
      <w:iCs/>
      <w:color w:val="4F81BD" w:themeColor="accent1"/>
      <w:sz w:val="22"/>
      <w:szCs w:val="22"/>
    </w:rPr>
  </w:style>
  <w:style w:type="character" w:styleId="SubtleReference">
    <w:name w:val="Subtle Reference"/>
    <w:uiPriority w:val="31"/>
    <w:qFormat/>
    <w:rsid w:val="0053339B"/>
    <w:rPr>
      <w:color w:val="auto"/>
      <w:u w:val="single" w:color="9BBB59" w:themeColor="accent3"/>
    </w:rPr>
  </w:style>
  <w:style w:type="character" w:styleId="IntenseReference">
    <w:name w:val="Intense Reference"/>
    <w:basedOn w:val="DefaultParagraphFont"/>
    <w:uiPriority w:val="32"/>
    <w:qFormat/>
    <w:rsid w:val="0053339B"/>
    <w:rPr>
      <w:b/>
      <w:bCs/>
      <w:color w:val="76923C" w:themeColor="accent3" w:themeShade="BF"/>
      <w:u w:val="single" w:color="9BBB59" w:themeColor="accent3"/>
    </w:rPr>
  </w:style>
  <w:style w:type="character" w:styleId="BookTitle">
    <w:name w:val="Book Title"/>
    <w:basedOn w:val="DefaultParagraphFont"/>
    <w:uiPriority w:val="33"/>
    <w:qFormat/>
    <w:rsid w:val="0053339B"/>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53339B"/>
    <w:pPr>
      <w:outlineLvl w:val="9"/>
    </w:pPr>
    <w:rPr>
      <w:lang w:bidi="en-US"/>
    </w:rPr>
  </w:style>
  <w:style w:type="character" w:customStyle="1" w:styleId="st1">
    <w:name w:val="st1"/>
    <w:basedOn w:val="DefaultParagraphFont"/>
    <w:rsid w:val="001956EA"/>
  </w:style>
  <w:style w:type="paragraph" w:styleId="BalloonText">
    <w:name w:val="Balloon Text"/>
    <w:basedOn w:val="Normal"/>
    <w:link w:val="BalloonTextChar"/>
    <w:uiPriority w:val="99"/>
    <w:semiHidden/>
    <w:unhideWhenUsed/>
    <w:rsid w:val="00F559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94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39B"/>
  </w:style>
  <w:style w:type="paragraph" w:styleId="Heading1">
    <w:name w:val="heading 1"/>
    <w:basedOn w:val="Normal"/>
    <w:next w:val="Normal"/>
    <w:link w:val="Heading1Char"/>
    <w:uiPriority w:val="9"/>
    <w:qFormat/>
    <w:rsid w:val="0053339B"/>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53339B"/>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53339B"/>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53339B"/>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53339B"/>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53339B"/>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53339B"/>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53339B"/>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53339B"/>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39B"/>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53339B"/>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53339B"/>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53339B"/>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53339B"/>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53339B"/>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53339B"/>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53339B"/>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53339B"/>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53339B"/>
    <w:rPr>
      <w:b/>
      <w:bCs/>
      <w:sz w:val="18"/>
      <w:szCs w:val="18"/>
    </w:rPr>
  </w:style>
  <w:style w:type="paragraph" w:styleId="Title">
    <w:name w:val="Title"/>
    <w:basedOn w:val="Normal"/>
    <w:next w:val="Normal"/>
    <w:link w:val="TitleChar"/>
    <w:uiPriority w:val="10"/>
    <w:qFormat/>
    <w:rsid w:val="0053339B"/>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53339B"/>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53339B"/>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53339B"/>
    <w:rPr>
      <w:i/>
      <w:iCs/>
      <w:sz w:val="24"/>
      <w:szCs w:val="24"/>
    </w:rPr>
  </w:style>
  <w:style w:type="character" w:styleId="Strong">
    <w:name w:val="Strong"/>
    <w:basedOn w:val="DefaultParagraphFont"/>
    <w:uiPriority w:val="22"/>
    <w:qFormat/>
    <w:rsid w:val="0053339B"/>
    <w:rPr>
      <w:b/>
      <w:bCs/>
      <w:spacing w:val="0"/>
    </w:rPr>
  </w:style>
  <w:style w:type="character" w:styleId="Emphasis">
    <w:name w:val="Emphasis"/>
    <w:uiPriority w:val="20"/>
    <w:qFormat/>
    <w:rsid w:val="0053339B"/>
    <w:rPr>
      <w:b/>
      <w:bCs/>
      <w:i/>
      <w:iCs/>
      <w:color w:val="5A5A5A" w:themeColor="text1" w:themeTint="A5"/>
    </w:rPr>
  </w:style>
  <w:style w:type="paragraph" w:styleId="NoSpacing">
    <w:name w:val="No Spacing"/>
    <w:basedOn w:val="Normal"/>
    <w:link w:val="NoSpacingChar"/>
    <w:uiPriority w:val="1"/>
    <w:qFormat/>
    <w:rsid w:val="0053339B"/>
    <w:pPr>
      <w:ind w:firstLine="0"/>
    </w:pPr>
  </w:style>
  <w:style w:type="character" w:customStyle="1" w:styleId="NoSpacingChar">
    <w:name w:val="No Spacing Char"/>
    <w:basedOn w:val="DefaultParagraphFont"/>
    <w:link w:val="NoSpacing"/>
    <w:uiPriority w:val="1"/>
    <w:rsid w:val="0053339B"/>
  </w:style>
  <w:style w:type="paragraph" w:styleId="ListParagraph">
    <w:name w:val="List Paragraph"/>
    <w:basedOn w:val="Normal"/>
    <w:uiPriority w:val="34"/>
    <w:qFormat/>
    <w:rsid w:val="0053339B"/>
    <w:pPr>
      <w:ind w:left="720"/>
      <w:contextualSpacing/>
    </w:pPr>
  </w:style>
  <w:style w:type="paragraph" w:styleId="Quote">
    <w:name w:val="Quote"/>
    <w:basedOn w:val="Normal"/>
    <w:next w:val="Normal"/>
    <w:link w:val="QuoteChar"/>
    <w:uiPriority w:val="29"/>
    <w:qFormat/>
    <w:rsid w:val="0053339B"/>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53339B"/>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53339B"/>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53339B"/>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53339B"/>
    <w:rPr>
      <w:i/>
      <w:iCs/>
      <w:color w:val="5A5A5A" w:themeColor="text1" w:themeTint="A5"/>
    </w:rPr>
  </w:style>
  <w:style w:type="character" w:styleId="IntenseEmphasis">
    <w:name w:val="Intense Emphasis"/>
    <w:uiPriority w:val="21"/>
    <w:qFormat/>
    <w:rsid w:val="0053339B"/>
    <w:rPr>
      <w:b/>
      <w:bCs/>
      <w:i/>
      <w:iCs/>
      <w:color w:val="4F81BD" w:themeColor="accent1"/>
      <w:sz w:val="22"/>
      <w:szCs w:val="22"/>
    </w:rPr>
  </w:style>
  <w:style w:type="character" w:styleId="SubtleReference">
    <w:name w:val="Subtle Reference"/>
    <w:uiPriority w:val="31"/>
    <w:qFormat/>
    <w:rsid w:val="0053339B"/>
    <w:rPr>
      <w:color w:val="auto"/>
      <w:u w:val="single" w:color="9BBB59" w:themeColor="accent3"/>
    </w:rPr>
  </w:style>
  <w:style w:type="character" w:styleId="IntenseReference">
    <w:name w:val="Intense Reference"/>
    <w:basedOn w:val="DefaultParagraphFont"/>
    <w:uiPriority w:val="32"/>
    <w:qFormat/>
    <w:rsid w:val="0053339B"/>
    <w:rPr>
      <w:b/>
      <w:bCs/>
      <w:color w:val="76923C" w:themeColor="accent3" w:themeShade="BF"/>
      <w:u w:val="single" w:color="9BBB59" w:themeColor="accent3"/>
    </w:rPr>
  </w:style>
  <w:style w:type="character" w:styleId="BookTitle">
    <w:name w:val="Book Title"/>
    <w:basedOn w:val="DefaultParagraphFont"/>
    <w:uiPriority w:val="33"/>
    <w:qFormat/>
    <w:rsid w:val="0053339B"/>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53339B"/>
    <w:pPr>
      <w:outlineLvl w:val="9"/>
    </w:pPr>
    <w:rPr>
      <w:lang w:bidi="en-US"/>
    </w:rPr>
  </w:style>
  <w:style w:type="character" w:customStyle="1" w:styleId="st1">
    <w:name w:val="st1"/>
    <w:basedOn w:val="DefaultParagraphFont"/>
    <w:rsid w:val="001956EA"/>
  </w:style>
  <w:style w:type="paragraph" w:styleId="BalloonText">
    <w:name w:val="Balloon Text"/>
    <w:basedOn w:val="Normal"/>
    <w:link w:val="BalloonTextChar"/>
    <w:uiPriority w:val="99"/>
    <w:semiHidden/>
    <w:unhideWhenUsed/>
    <w:rsid w:val="00F559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9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Baker</dc:creator>
  <cp:lastModifiedBy>Jill Baker</cp:lastModifiedBy>
  <cp:revision>2</cp:revision>
  <cp:lastPrinted>2018-02-09T16:28:00Z</cp:lastPrinted>
  <dcterms:created xsi:type="dcterms:W3CDTF">2018-02-09T20:37:00Z</dcterms:created>
  <dcterms:modified xsi:type="dcterms:W3CDTF">2018-02-09T20:37:00Z</dcterms:modified>
</cp:coreProperties>
</file>